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D227" w14:textId="669C6D3E" w:rsidR="00AB7024" w:rsidRDefault="00DD6F9B" w:rsidP="00DD6F9B">
      <w:pPr>
        <w:jc w:val="center"/>
        <w:rPr>
          <w:rFonts w:asciiTheme="majorHAnsi" w:eastAsia="Times New Roman" w:hAnsiTheme="majorHAnsi" w:cs="Times New Roman"/>
          <w:b/>
          <w:sz w:val="32"/>
          <w:szCs w:val="32"/>
          <w:shd w:val="clear" w:color="auto" w:fill="FFFFFF"/>
          <w:lang w:eastAsia="en-US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32"/>
          <w:szCs w:val="32"/>
          <w:shd w:val="clear" w:color="auto" w:fill="FFFFFF"/>
          <w:lang w:eastAsia="en-US"/>
        </w:rPr>
        <w:t xml:space="preserve">International </w:t>
      </w:r>
      <w:r w:rsidR="00AB7024" w:rsidRPr="00AB7024">
        <w:rPr>
          <w:rFonts w:asciiTheme="majorHAnsi" w:eastAsia="Times New Roman" w:hAnsiTheme="majorHAnsi" w:cs="Times New Roman"/>
          <w:b/>
          <w:sz w:val="32"/>
          <w:szCs w:val="32"/>
          <w:shd w:val="clear" w:color="auto" w:fill="FFFFFF"/>
          <w:lang w:eastAsia="en-US"/>
        </w:rPr>
        <w:t xml:space="preserve">Expert Consensus Statement on </w:t>
      </w:r>
      <w:r w:rsidR="00AB7024">
        <w:rPr>
          <w:rFonts w:asciiTheme="majorHAnsi" w:eastAsia="Times New Roman" w:hAnsiTheme="majorHAnsi" w:cs="Times New Roman"/>
          <w:b/>
          <w:sz w:val="32"/>
          <w:szCs w:val="32"/>
          <w:shd w:val="clear" w:color="auto" w:fill="FFFFFF"/>
          <w:lang w:eastAsia="en-US"/>
        </w:rPr>
        <w:t>Male Testosterone Deficiency</w:t>
      </w:r>
    </w:p>
    <w:p w14:paraId="1C31DA4D" w14:textId="77777777" w:rsidR="00DD6F9B" w:rsidRPr="00DD6F9B" w:rsidRDefault="00DD6F9B" w:rsidP="00DD6F9B">
      <w:pPr>
        <w:jc w:val="center"/>
        <w:rPr>
          <w:rFonts w:asciiTheme="majorHAnsi" w:eastAsia="Times New Roman" w:hAnsiTheme="majorHAnsi" w:cs="Times New Roman"/>
          <w:b/>
          <w:sz w:val="12"/>
          <w:szCs w:val="12"/>
          <w:shd w:val="clear" w:color="auto" w:fill="FFFFFF"/>
          <w:lang w:eastAsia="en-US"/>
        </w:rPr>
      </w:pPr>
    </w:p>
    <w:p w14:paraId="17290520" w14:textId="0B711295" w:rsidR="00DD6F9B" w:rsidRPr="00DD6F9B" w:rsidRDefault="00026A78" w:rsidP="00026A78">
      <w:pPr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</w:pPr>
      <w:r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>To address concerns reg</w:t>
      </w:r>
      <w:r w:rsidR="00AB7024"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 xml:space="preserve">arding </w:t>
      </w:r>
      <w:r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>male testosterone deficiency (TD)</w:t>
      </w:r>
      <w:r w:rsidR="00AB7024"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 xml:space="preserve"> as a recognized medical condition,</w:t>
      </w:r>
      <w:r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 xml:space="preserve"> and its treatment with </w:t>
      </w:r>
      <w:r w:rsid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>testosterone (</w:t>
      </w:r>
      <w:r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>T</w:t>
      </w:r>
      <w:r w:rsid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>)</w:t>
      </w:r>
      <w:r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 xml:space="preserve"> therapy, an international expert consensus conference was convened in Prague, Czech Republic, on October 1, 2015. Experts included a broad range of medical specialties including urology, endocrinology, </w:t>
      </w:r>
      <w:proofErr w:type="spellStart"/>
      <w:r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>diabetology</w:t>
      </w:r>
      <w:proofErr w:type="spellEnd"/>
      <w:r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>, internal medicine, and basic science research. Nine resolutions were debated, with</w:t>
      </w:r>
      <w:r w:rsidR="00E7531F"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 xml:space="preserve"> unanimous approval. The resolutions and expert comments</w:t>
      </w:r>
      <w:r w:rsidRPr="00DD6F9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 xml:space="preserve"> are shown in the table below.</w:t>
      </w:r>
    </w:p>
    <w:p w14:paraId="345A01F7" w14:textId="21285050" w:rsidR="005B6F54" w:rsidRPr="005B6F54" w:rsidRDefault="00DD6F9B" w:rsidP="00026A78">
      <w:pPr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>_______________________</w:t>
      </w:r>
      <w:r w:rsidR="005B6F5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eastAsia="en-US"/>
        </w:rPr>
        <w:t>_________________________________________________________________</w:t>
      </w:r>
    </w:p>
    <w:p w14:paraId="7C0A29A2" w14:textId="77777777" w:rsidR="00026A78" w:rsidRDefault="00026A78" w:rsidP="004F6EAE">
      <w:pPr>
        <w:shd w:val="clear" w:color="auto" w:fill="FFFFFF"/>
        <w:rPr>
          <w:rFonts w:ascii="Helvetica" w:eastAsia="Times New Roman" w:hAnsi="Helvetica" w:cs="Times New Roman"/>
          <w:b/>
          <w:bCs/>
          <w:color w:val="505050"/>
          <w:sz w:val="6"/>
          <w:szCs w:val="6"/>
          <w:lang w:eastAsia="en-US"/>
        </w:rPr>
      </w:pPr>
    </w:p>
    <w:p w14:paraId="7BD7DCB9" w14:textId="77777777" w:rsidR="00AB7024" w:rsidRPr="005B6F54" w:rsidRDefault="00AB7024" w:rsidP="004F6EAE">
      <w:pPr>
        <w:shd w:val="clear" w:color="auto" w:fill="FFFFFF"/>
        <w:rPr>
          <w:rFonts w:ascii="Helvetica" w:eastAsia="Times New Roman" w:hAnsi="Helvetica" w:cs="Times New Roman"/>
          <w:b/>
          <w:bCs/>
          <w:color w:val="505050"/>
          <w:sz w:val="6"/>
          <w:szCs w:val="6"/>
          <w:lang w:eastAsia="en-US"/>
        </w:rPr>
      </w:pPr>
    </w:p>
    <w:p w14:paraId="2CEC21F1" w14:textId="77777777" w:rsidR="004F6EAE" w:rsidRPr="00AB7024" w:rsidRDefault="004F6EAE" w:rsidP="004F6EAE">
      <w:pPr>
        <w:shd w:val="clear" w:color="auto" w:fill="FFFFFF"/>
        <w:rPr>
          <w:rFonts w:ascii="Helvetica" w:eastAsia="Times New Roman" w:hAnsi="Helvetica" w:cs="Times New Roman"/>
          <w:b/>
          <w:bCs/>
          <w:color w:val="505050"/>
          <w:lang w:eastAsia="en-US"/>
        </w:rPr>
      </w:pPr>
      <w:r w:rsidRPr="00AB7024">
        <w:rPr>
          <w:rFonts w:ascii="Helvetica" w:eastAsia="Times New Roman" w:hAnsi="Helvetica" w:cs="Times New Roman"/>
          <w:b/>
          <w:bCs/>
          <w:color w:val="505050"/>
          <w:lang w:eastAsia="en-US"/>
        </w:rPr>
        <w:t>Resolutions of the 2015 International Expert Consensus Conference on Male Testosterone Deficiency (TD) and Its Treatment</w:t>
      </w:r>
    </w:p>
    <w:p w14:paraId="04554F63" w14:textId="77777777" w:rsidR="00AB7024" w:rsidRPr="00AB7024" w:rsidRDefault="00AB7024" w:rsidP="004F6EAE">
      <w:pPr>
        <w:shd w:val="clear" w:color="auto" w:fill="FFFFFF"/>
        <w:rPr>
          <w:rFonts w:ascii="Helvetica" w:eastAsia="Times New Roman" w:hAnsi="Helvetica" w:cs="Times New Roman"/>
          <w:b/>
          <w:bCs/>
          <w:color w:val="505050"/>
          <w:sz w:val="12"/>
          <w:szCs w:val="12"/>
          <w:lang w:eastAsia="en-US"/>
        </w:rPr>
      </w:pPr>
    </w:p>
    <w:tbl>
      <w:tblPr>
        <w:tblW w:w="5000" w:type="pct"/>
        <w:tblCellSpacing w:w="0" w:type="dxa"/>
        <w:tblBorders>
          <w:top w:val="single" w:sz="6" w:space="0" w:color="F5F4F4"/>
          <w:left w:val="single" w:sz="6" w:space="0" w:color="F5F4F4"/>
          <w:bottom w:val="single" w:sz="6" w:space="0" w:color="F5F4F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7005"/>
      </w:tblGrid>
      <w:tr w:rsidR="00AB7024" w:rsidRPr="004F6EAE" w14:paraId="7380BCA6" w14:textId="77777777" w:rsidTr="00AB7024">
        <w:trPr>
          <w:tblHeader/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12" w:space="0" w:color="80C6EE"/>
              <w:right w:val="single" w:sz="6" w:space="0" w:color="F5F4F4"/>
            </w:tcBorders>
            <w:shd w:val="clear" w:color="auto" w:fill="FFFFFF"/>
            <w:tcMar>
              <w:top w:w="30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9DED837" w14:textId="77777777" w:rsidR="004F6EAE" w:rsidRPr="001720B8" w:rsidRDefault="004F6EAE" w:rsidP="004F6EAE">
            <w:pPr>
              <w:rPr>
                <w:rFonts w:ascii="Helvetica" w:eastAsia="Times New Roman" w:hAnsi="Helvetica" w:cs="Times New Roman"/>
                <w:b/>
                <w:bCs/>
                <w:lang w:eastAsia="en-US"/>
              </w:rPr>
            </w:pPr>
            <w:r w:rsidRPr="001720B8">
              <w:rPr>
                <w:rFonts w:ascii="Helvetica" w:eastAsia="Times New Roman" w:hAnsi="Helvetica" w:cs="Times New Roman"/>
                <w:b/>
                <w:bCs/>
                <w:lang w:eastAsia="en-US"/>
              </w:rPr>
              <w:t>Resolutions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12" w:space="0" w:color="80C6EE"/>
              <w:right w:val="single" w:sz="6" w:space="0" w:color="F5F4F4"/>
            </w:tcBorders>
            <w:shd w:val="clear" w:color="auto" w:fill="FFFFFF"/>
            <w:tcMar>
              <w:top w:w="30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519A2A0" w14:textId="7F656FA1" w:rsidR="004F6EAE" w:rsidRPr="001720B8" w:rsidRDefault="001720B8" w:rsidP="004F6EAE">
            <w:pPr>
              <w:rPr>
                <w:rFonts w:ascii="Helvetica" w:eastAsia="Times New Roman" w:hAnsi="Helvetica" w:cs="Times New Roman"/>
                <w:b/>
                <w:bCs/>
                <w:lang w:eastAsia="en-US"/>
              </w:rPr>
            </w:pPr>
            <w:r w:rsidRPr="001720B8">
              <w:rPr>
                <w:rFonts w:ascii="Helvetica" w:eastAsia="Times New Roman" w:hAnsi="Helvetica" w:cs="Times New Roman"/>
                <w:b/>
                <w:bCs/>
                <w:lang w:eastAsia="en-US"/>
              </w:rPr>
              <w:t>Expert C</w:t>
            </w:r>
            <w:r w:rsidR="004F6EAE" w:rsidRPr="001720B8">
              <w:rPr>
                <w:rFonts w:ascii="Helvetica" w:eastAsia="Times New Roman" w:hAnsi="Helvetica" w:cs="Times New Roman"/>
                <w:b/>
                <w:bCs/>
                <w:lang w:eastAsia="en-US"/>
              </w:rPr>
              <w:t>omments</w:t>
            </w:r>
          </w:p>
        </w:tc>
      </w:tr>
      <w:tr w:rsidR="00AB7024" w:rsidRPr="004F6EAE" w14:paraId="4F2913A8" w14:textId="77777777" w:rsidTr="00AB7024">
        <w:trPr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D21522" w14:textId="3C7C437F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1.</w:t>
            </w:r>
            <w:r w:rsid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TD is a well-established, significant medical condition that negatively affects male sexuality, reproduction, general health, and quality of life</w:t>
            </w:r>
            <w:r w:rsidR="00AB7024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817153" w14:textId="6B5E1060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TD (low levels of testosterone):</w:t>
            </w:r>
          </w:p>
          <w:p w14:paraId="0AE54AEE" w14:textId="5E6086C5" w:rsidR="004F6EAE" w:rsidRPr="00DD6F9B" w:rsidRDefault="004F6EAE" w:rsidP="004F6EAE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May predict increased risk of developing diabetes, metabolic syndrome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197854C5" w14:textId="381F0B88" w:rsidR="004F6EAE" w:rsidRPr="00DD6F9B" w:rsidRDefault="004F6EAE" w:rsidP="004F6EAE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Contributes to decreased bone mineral density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3858C7E8" w14:textId="16D38444" w:rsidR="004F6EAE" w:rsidRPr="00DD6F9B" w:rsidRDefault="004F6EAE" w:rsidP="004F6EAE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Is associated with increased all-cause and cardiovascular mortality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40F9EDEA" w14:textId="4B85E990" w:rsidR="004F6EAE" w:rsidRPr="00DD6F9B" w:rsidRDefault="004F6EAE" w:rsidP="004F6EAE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Negatively impacts general health and quality of life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B7024" w:rsidRPr="004F6EAE" w14:paraId="17D1D8D9" w14:textId="77777777" w:rsidTr="00AB7024">
        <w:trPr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E3F237" w14:textId="0636383B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2.</w:t>
            </w:r>
            <w:r w:rsid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The symptoms and signs of TD occur as a result of low levels of T and may benefit from treatment regardless of whether there is an identified underlying etiology</w:t>
            </w:r>
            <w:r w:rsidR="00AB7024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D00E2F" w14:textId="0F2A0D97" w:rsidR="004F6EAE" w:rsidRPr="00DD6F9B" w:rsidRDefault="004F6EAE" w:rsidP="004F6EAE">
            <w:pPr>
              <w:pStyle w:val="ListParagraph"/>
              <w:numPr>
                <w:ilvl w:val="0"/>
                <w:numId w:val="2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Symptoms and signs of TD occur in healthy volunteers or patients who undergo androgen deprivation; these symptoms and signs resolve with T normalization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7CBCF19E" w14:textId="5B580F47" w:rsidR="004F6EAE" w:rsidRPr="00DD6F9B" w:rsidRDefault="004F6EAE" w:rsidP="004F6EAE">
            <w:pPr>
              <w:pStyle w:val="ListParagraph"/>
              <w:numPr>
                <w:ilvl w:val="0"/>
                <w:numId w:val="2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Historically recognized causes of TD are rare (</w:t>
            </w:r>
            <w:proofErr w:type="spellStart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eg</w:t>
            </w:r>
            <w:proofErr w:type="spellEnd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anorchia</w:t>
            </w:r>
            <w:proofErr w:type="spellEnd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craniopharyngioma</w:t>
            </w:r>
            <w:proofErr w:type="spellEnd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, pituitary tumor), recently termed </w:t>
            </w:r>
            <w:r w:rsidRPr="00DD6F9B"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en-US"/>
              </w:rPr>
              <w:t xml:space="preserve">classical </w:t>
            </w:r>
            <w:proofErr w:type="spellStart"/>
            <w:r w:rsidRPr="00DD6F9B"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en-US"/>
              </w:rPr>
              <w:t>hypogonadism</w:t>
            </w:r>
            <w:proofErr w:type="spellEnd"/>
            <w:r w:rsidRPr="00DD6F9B"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en-US"/>
              </w:rPr>
              <w:t>.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 These conditions account for only a tiny fraction of men with TD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27EF064F" w14:textId="5C4F0430" w:rsidR="004F6EAE" w:rsidRPr="00DD6F9B" w:rsidRDefault="004F6EAE" w:rsidP="004F6EAE">
            <w:pPr>
              <w:pStyle w:val="ListParagraph"/>
              <w:numPr>
                <w:ilvl w:val="0"/>
                <w:numId w:val="2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No evidence exists to support restriction of T therapy only to men with known underlying etiology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B7024" w:rsidRPr="004F6EAE" w14:paraId="578475DF" w14:textId="77777777" w:rsidTr="00AB7024">
        <w:trPr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78AFA2" w14:textId="6917E1C9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3.</w:t>
            </w:r>
            <w:r w:rsidR="00DD6F9B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TD is a global public health concern</w:t>
            </w:r>
            <w:r w:rsidR="00AB7024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F6B988" w14:textId="71787CFB" w:rsidR="004F6EAE" w:rsidRPr="00DD6F9B" w:rsidRDefault="004F6EAE" w:rsidP="004F6EAE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Prevalence rates in men range from 2% to 38% in studies from Asia, Europe, North America, and South America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2C3894E3" w14:textId="365F8F03" w:rsidR="004F6EAE" w:rsidRPr="00DD6F9B" w:rsidRDefault="004F6EAE" w:rsidP="004F6EAE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Variation in prevalence rates can be explained by differences in the operative definition of TD and biochemical thresholds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11B49352" w14:textId="0AFE3A3D" w:rsidR="004F6EAE" w:rsidRPr="00DD6F9B" w:rsidRDefault="004F6EAE" w:rsidP="004F6EAE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A US study estimates an additional $190-$525 billion in health care expenditures over 20 years due to TD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B7024" w:rsidRPr="004F6EAE" w14:paraId="101B6F72" w14:textId="77777777" w:rsidTr="00AB7024">
        <w:trPr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AAD7FD" w14:textId="543DB841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4.</w:t>
            </w:r>
            <w:r w:rsidR="00DD6F9B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 therapy for men with TD is effective, rational, and evidence based</w:t>
            </w:r>
            <w:r w:rsidR="00AB7024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2CAE92" w14:textId="77777777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High-level evidence shows T therapy effectively:</w:t>
            </w:r>
          </w:p>
          <w:p w14:paraId="5531F094" w14:textId="560CE8F6" w:rsidR="004F6EAE" w:rsidRPr="00DD6F9B" w:rsidRDefault="004F6EAE" w:rsidP="004F6EAE">
            <w:pPr>
              <w:pStyle w:val="ListParagraph"/>
              <w:numPr>
                <w:ilvl w:val="0"/>
                <w:numId w:val="4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Increases sexual desire (libido) and erectile and orgasmic function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77E739ED" w14:textId="4852050D" w:rsidR="004F6EAE" w:rsidRPr="00DD6F9B" w:rsidRDefault="004F6EAE" w:rsidP="004F6EAE">
            <w:pPr>
              <w:pStyle w:val="ListParagraph"/>
              <w:numPr>
                <w:ilvl w:val="0"/>
                <w:numId w:val="4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Increases lean body mass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7CA622F8" w14:textId="0D989BD7" w:rsidR="004F6EAE" w:rsidRPr="00DD6F9B" w:rsidRDefault="004F6EAE" w:rsidP="004F6EAE">
            <w:pPr>
              <w:pStyle w:val="ListParagraph"/>
              <w:numPr>
                <w:ilvl w:val="0"/>
                <w:numId w:val="4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Decreases fat mass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30FF2DC7" w14:textId="329F51F6" w:rsidR="00AB7024" w:rsidRPr="00DD6F9B" w:rsidRDefault="004F6EAE" w:rsidP="005B6F5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Improves bone mineral density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5023FFDC" w14:textId="25180F74" w:rsidR="004F6EAE" w:rsidRPr="00DD6F9B" w:rsidRDefault="005B6F54" w:rsidP="005B6F5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I</w:t>
            </w:r>
            <w:r w:rsidR="00AB7024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mproves in mood and</w:t>
            </w:r>
            <w:r w:rsidR="004F6EAE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energy</w:t>
            </w:r>
            <w:r w:rsidR="00AB7024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level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B7024" w:rsidRPr="004F6EAE" w14:paraId="705FF8DC" w14:textId="77777777" w:rsidTr="00AB7024">
        <w:trPr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8F17B3" w14:textId="33C1139E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5.</w:t>
            </w:r>
            <w:r w:rsidR="00DD6F9B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There is no T concentration threshold that reliably distinguishes those who will respond to treatment from those who will not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respond to treatment.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ED9452" w14:textId="2E0B9078" w:rsidR="004F6EAE" w:rsidRPr="00DD6F9B" w:rsidRDefault="004F6EAE" w:rsidP="00DD6F9B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No study has revealed a single testosterone threshold that reliably separates those who experience signs and symptoms of TD from those who do not, nor who will likely respond to treatment. Interpretation of total T </w:t>
            </w:r>
            <w:r w:rsid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concentrations is confounded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by</w:t>
            </w:r>
            <w:r w:rsid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i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nter-individual variation</w:t>
            </w:r>
            <w:r w:rsid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.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Free 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(unbound)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 can be a useful indicator of androgen status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B7024" w:rsidRPr="004F6EAE" w14:paraId="17B434C6" w14:textId="77777777" w:rsidTr="00AB7024">
        <w:trPr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DAFF7E" w14:textId="4D7CFF1C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lastRenderedPageBreak/>
              <w:t>6.</w:t>
            </w:r>
            <w:r w:rsidR="00DD6F9B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There is no scientific basis for any age-specific recommendations against the use of T therapy in men</w:t>
            </w:r>
            <w:r w:rsidR="00AB7024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884A14" w14:textId="0CB227C3" w:rsidR="004F6EAE" w:rsidRPr="00DD6F9B" w:rsidRDefault="004F6EAE" w:rsidP="004F6EAE">
            <w:pPr>
              <w:pStyle w:val="ListParagraph"/>
              <w:numPr>
                <w:ilvl w:val="0"/>
                <w:numId w:val="6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The term </w:t>
            </w:r>
            <w:r w:rsidRPr="00DD6F9B"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en-US"/>
              </w:rPr>
              <w:t xml:space="preserve">age-related </w:t>
            </w:r>
            <w:proofErr w:type="spellStart"/>
            <w:r w:rsidRPr="00DD6F9B"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en-US"/>
              </w:rPr>
              <w:t>hypogonadism</w:t>
            </w:r>
            <w:proofErr w:type="spellEnd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 is of questionable validity since the decline in mean serum T level with age is minor and primarily attributable to comorbidities, especially obesity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4F8EE224" w14:textId="29AC17FE" w:rsidR="004F6EAE" w:rsidRPr="00DD6F9B" w:rsidRDefault="004F6EAE" w:rsidP="004F6EAE">
            <w:pPr>
              <w:pStyle w:val="ListParagraph"/>
              <w:numPr>
                <w:ilvl w:val="0"/>
                <w:numId w:val="6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Older men respond well to T therapy, as do younger men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3786691A" w14:textId="7612617C" w:rsidR="004F6EAE" w:rsidRPr="00DD6F9B" w:rsidRDefault="004F6EAE" w:rsidP="004F6EAE">
            <w:pPr>
              <w:pStyle w:val="ListParagraph"/>
              <w:numPr>
                <w:ilvl w:val="0"/>
                <w:numId w:val="6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Increased risk of </w:t>
            </w:r>
            <w:proofErr w:type="spellStart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erythrocytosis</w:t>
            </w:r>
            <w:proofErr w:type="spellEnd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(elevated red blood cell count)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in older men requires monitoring but does not merit withholding T therapy if indicated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3A7AE51C" w14:textId="3A32CA02" w:rsidR="004F6EAE" w:rsidRPr="00DD6F9B" w:rsidRDefault="004F6EAE" w:rsidP="004F6EAE">
            <w:pPr>
              <w:pStyle w:val="ListParagraph"/>
              <w:numPr>
                <w:ilvl w:val="0"/>
                <w:numId w:val="6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It is illogical to single out TD </w:t>
            </w:r>
            <w:proofErr w:type="gramStart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as the one medical condition among many (</w:t>
            </w:r>
            <w:proofErr w:type="spellStart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eg</w:t>
            </w:r>
            <w:proofErr w:type="spellEnd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, diabetes, hypertension, heart disease, cancer, arthritis) that does not merit treatment because it becomes more prevalent with age</w:t>
            </w:r>
            <w:proofErr w:type="gramEnd"/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B7024" w:rsidRPr="004F6EAE" w14:paraId="2CF1A57B" w14:textId="77777777" w:rsidTr="00AB7024">
        <w:trPr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593BFC" w14:textId="7AD713E3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7.</w:t>
            </w:r>
            <w:r w:rsidR="00DD6F9B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The evidence does n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ot support increased risks of cardiovascular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events 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(heart attack, stroke)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with T therapy</w:t>
            </w:r>
            <w:r w:rsidR="00AB7024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5F2B42" w14:textId="497C8139" w:rsidR="004F6EAE" w:rsidRPr="00DD6F9B" w:rsidRDefault="004F6EAE" w:rsidP="004F6EAE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Two observational studies received intense media attention after reporting increased </w:t>
            </w:r>
            <w:r w:rsid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cardiovascular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risks. Both had major flaws/limitations. </w:t>
            </w:r>
            <w:proofErr w:type="gramStart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One misreported</w:t>
            </w:r>
            <w:proofErr w:type="gramEnd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results, the other had no control group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1F0B4E6F" w14:textId="48764105" w:rsidR="004F6EAE" w:rsidRPr="00DD6F9B" w:rsidRDefault="004F6EAE" w:rsidP="004F6EAE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Low serum T is associated with increased atherosclerosis, coronary artery disease, obesity, diabetes, and mortality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0FCCA86E" w14:textId="7BA94A6F" w:rsidR="004F6EAE" w:rsidRPr="00DD6F9B" w:rsidRDefault="00DD6F9B" w:rsidP="004F6EAE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Several randomized controlled trial</w:t>
            </w:r>
            <w:r w:rsidR="004F6EAE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s in men with known heart disease (angina, heart failure) showed greater benefits with T </w:t>
            </w:r>
            <w:proofErr w:type="spellStart"/>
            <w:r w:rsidR="004F6EAE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vs</w:t>
            </w:r>
            <w:proofErr w:type="spellEnd"/>
            <w:r w:rsidR="004F6EAE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placebo (greater time to ischemia, greater exercise capacity)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39664EF7" w14:textId="28997A90" w:rsidR="004F6EAE" w:rsidRPr="00DD6F9B" w:rsidRDefault="004F6EAE" w:rsidP="004F6EAE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The largest meta-analysis showed no increased risk with T therapy; </w:t>
            </w:r>
            <w:r w:rsidRPr="00DD6F9B"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en-US"/>
              </w:rPr>
              <w:t>reduced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 risk was noted in men with metabolic conditions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24F02CC1" w14:textId="22FFB211" w:rsidR="004F6EAE" w:rsidRPr="00DD6F9B" w:rsidRDefault="004F6EAE" w:rsidP="004F6EAE">
            <w:pPr>
              <w:pStyle w:val="ListParagraph"/>
              <w:numPr>
                <w:ilvl w:val="0"/>
                <w:numId w:val="7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No increased risk of </w:t>
            </w:r>
            <w:proofErr w:type="spellStart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venothrombotic</w:t>
            </w:r>
            <w:proofErr w:type="spellEnd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events with T therapy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B7024" w:rsidRPr="004F6EAE" w14:paraId="7DFEDE3F" w14:textId="77777777" w:rsidTr="00AB7024">
        <w:trPr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663075" w14:textId="1786B387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8.</w:t>
            </w:r>
            <w:r w:rsidR="00DD6F9B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The evidence does not support increased risk of 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prostate cancer</w:t>
            </w:r>
            <w:r w:rsidR="001720B8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with T therapy</w:t>
            </w:r>
            <w:r w:rsidR="00AB7024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5DCB00" w14:textId="57350228" w:rsidR="004F6EAE" w:rsidRPr="00DD6F9B" w:rsidRDefault="004F6EAE" w:rsidP="004F6EAE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Serum androgen concentrations are not associated with increased risk of </w:t>
            </w:r>
            <w:proofErr w:type="gramStart"/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prostate cancer</w:t>
            </w:r>
            <w:r w:rsidR="001720B8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nor</w:t>
            </w:r>
            <w:proofErr w:type="gramEnd"/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aggressive disease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7D419850" w14:textId="61A4C1B6" w:rsidR="004F6EAE" w:rsidRPr="00DD6F9B" w:rsidRDefault="004F6EAE" w:rsidP="004F6EAE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T therapy has no greater risk of 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prostate cancer</w:t>
            </w:r>
            <w:r w:rsidR="001720B8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than placebo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587D22AE" w14:textId="3A87A58C" w:rsidR="004F6EAE" w:rsidRPr="00DD6F9B" w:rsidRDefault="004F6EAE" w:rsidP="004F6EAE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Aggressive/high-grade 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prostate cancer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is associated with </w:t>
            </w:r>
            <w:r w:rsidRPr="00DD6F9B"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en-US"/>
              </w:rPr>
              <w:t>low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 serum T levels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53A86386" w14:textId="5839BBE0" w:rsidR="004F6EAE" w:rsidRPr="00DD6F9B" w:rsidRDefault="001720B8" w:rsidP="004F6EAE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D</w:t>
            </w:r>
            <w:r w:rsidR="004F6EAE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ata suggest no increased risk of recurrence/progression with T therapy i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n men previously treated for prostate cancer.</w:t>
            </w:r>
          </w:p>
        </w:tc>
      </w:tr>
      <w:tr w:rsidR="00AB7024" w:rsidRPr="004F6EAE" w14:paraId="33C9C6BC" w14:textId="77777777" w:rsidTr="00DD6F9B">
        <w:trPr>
          <w:trHeight w:val="2013"/>
          <w:tblCellSpacing w:w="0" w:type="dxa"/>
        </w:trPr>
        <w:tc>
          <w:tcPr>
            <w:tcW w:w="1903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A11D89" w14:textId="305B3EAF" w:rsidR="004F6EAE" w:rsidRPr="00DD6F9B" w:rsidRDefault="004F6EAE" w:rsidP="004F6EAE">
            <w:p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9.</w:t>
            </w:r>
            <w:r w:rsidR="00DD6F9B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The evidence supports a major research initiative to explore possible benefits of T therapy for cardio-metabolic disease, including diabetes</w:t>
            </w:r>
            <w:r w:rsidR="00DD6F9B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7" w:type="pct"/>
            <w:tcBorders>
              <w:top w:val="single" w:sz="6" w:space="0" w:color="F5F4F4"/>
              <w:left w:val="single" w:sz="6" w:space="0" w:color="F5F4F4"/>
              <w:bottom w:val="single" w:sz="6" w:space="0" w:color="F5F4F4"/>
              <w:right w:val="single" w:sz="6" w:space="0" w:color="F5F4F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F6D3FC" w14:textId="1F739E88" w:rsidR="004F6EAE" w:rsidRPr="00DD6F9B" w:rsidRDefault="004F6EAE" w:rsidP="004F6EAE">
            <w:pPr>
              <w:pStyle w:val="ListParagraph"/>
              <w:numPr>
                <w:ilvl w:val="0"/>
                <w:numId w:val="9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A large body of evidence suggests lower serum T concentrations 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are associated with increased cardiovascular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risk; higher levels are protective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182F1B67" w14:textId="5621B32A" w:rsidR="004F6EAE" w:rsidRPr="00DD6F9B" w:rsidRDefault="004F6EAE" w:rsidP="004F6EAE">
            <w:pPr>
              <w:pStyle w:val="ListParagraph"/>
              <w:numPr>
                <w:ilvl w:val="0"/>
                <w:numId w:val="9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T therapy reliably increases lean 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body 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mass, decreases fat mass, and may improve glycemic control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(reduce risk of diabetes)</w:t>
            </w:r>
            <w:r w:rsidR="001720B8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623B0261" w14:textId="65E33A68" w:rsidR="004F6EAE" w:rsidRPr="00DD6F9B" w:rsidRDefault="004F6EAE" w:rsidP="004F6EAE">
            <w:pPr>
              <w:pStyle w:val="ListParagraph"/>
              <w:numPr>
                <w:ilvl w:val="0"/>
                <w:numId w:val="9"/>
              </w:numPr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Mortality rates are reduced by half in men with TD who received T therapy compared with untreated men in observational studies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  <w:p w14:paraId="0CD71EEB" w14:textId="489B76D1" w:rsidR="004F6EAE" w:rsidRPr="005B6F54" w:rsidRDefault="004F6EAE" w:rsidP="004F6EAE">
            <w:pPr>
              <w:pStyle w:val="ListParagraph"/>
              <w:numPr>
                <w:ilvl w:val="0"/>
                <w:numId w:val="9"/>
              </w:numPr>
              <w:rPr>
                <w:rFonts w:ascii="Helvetica" w:eastAsia="Times New Roman" w:hAnsi="Helvetica" w:cs="Times New Roman"/>
                <w:sz w:val="19"/>
                <w:szCs w:val="19"/>
                <w:lang w:eastAsia="en-US"/>
              </w:rPr>
            </w:pP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Among men who received T therapy, those with normalized T levels had a reduced rate of 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cardiovascular</w:t>
            </w:r>
            <w:r w:rsidR="00A9202E"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events/mortality compared to</w:t>
            </w:r>
            <w:r w:rsidRPr="00DD6F9B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 xml:space="preserve"> men with persistently low T</w:t>
            </w:r>
            <w:r w:rsidR="00A9202E">
              <w:rPr>
                <w:rFonts w:ascii="Helvetica" w:eastAsia="Times New Roman" w:hAnsi="Helvetica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14:paraId="15E48C78" w14:textId="1E20AD13" w:rsidR="00B535C3" w:rsidRPr="00DD6F9B" w:rsidRDefault="00B535C3" w:rsidP="00DD6F9B">
      <w:pPr>
        <w:shd w:val="clear" w:color="auto" w:fill="FFFFFF"/>
        <w:rPr>
          <w:rFonts w:ascii="Helvetica" w:eastAsia="Times New Roman" w:hAnsi="Helvetica" w:cs="Times New Roman"/>
          <w:b/>
          <w:bCs/>
          <w:color w:val="505050"/>
          <w:sz w:val="18"/>
          <w:szCs w:val="18"/>
          <w:lang w:eastAsia="en-US"/>
        </w:rPr>
      </w:pPr>
    </w:p>
    <w:sectPr w:rsidR="00B535C3" w:rsidRPr="00DD6F9B" w:rsidSect="00C85106">
      <w:pgSz w:w="12240" w:h="15840"/>
      <w:pgMar w:top="720" w:right="720" w:bottom="720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7A"/>
    <w:multiLevelType w:val="hybridMultilevel"/>
    <w:tmpl w:val="648A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A00CD"/>
    <w:multiLevelType w:val="hybridMultilevel"/>
    <w:tmpl w:val="BCC0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179FB"/>
    <w:multiLevelType w:val="hybridMultilevel"/>
    <w:tmpl w:val="CBBA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72526"/>
    <w:multiLevelType w:val="hybridMultilevel"/>
    <w:tmpl w:val="96B0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46C31"/>
    <w:multiLevelType w:val="hybridMultilevel"/>
    <w:tmpl w:val="E8D61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835615"/>
    <w:multiLevelType w:val="hybridMultilevel"/>
    <w:tmpl w:val="51582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AC00C0"/>
    <w:multiLevelType w:val="hybridMultilevel"/>
    <w:tmpl w:val="E556B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5D14EB"/>
    <w:multiLevelType w:val="hybridMultilevel"/>
    <w:tmpl w:val="7C06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9E68E4"/>
    <w:multiLevelType w:val="hybridMultilevel"/>
    <w:tmpl w:val="A37C5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AE"/>
    <w:rsid w:val="00026A78"/>
    <w:rsid w:val="001720B8"/>
    <w:rsid w:val="00182AD8"/>
    <w:rsid w:val="00420F8D"/>
    <w:rsid w:val="004F6EAE"/>
    <w:rsid w:val="005B6F54"/>
    <w:rsid w:val="007326E3"/>
    <w:rsid w:val="00884F4A"/>
    <w:rsid w:val="00A9202E"/>
    <w:rsid w:val="00AB7024"/>
    <w:rsid w:val="00B535C3"/>
    <w:rsid w:val="00C85106"/>
    <w:rsid w:val="00DD6F9B"/>
    <w:rsid w:val="00E7531F"/>
    <w:rsid w:val="00EC7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226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line-tablelabel">
    <w:name w:val="inline-table__label"/>
    <w:basedOn w:val="DefaultParagraphFont"/>
    <w:rsid w:val="004F6EAE"/>
  </w:style>
  <w:style w:type="character" w:customStyle="1" w:styleId="inline-tabletitle">
    <w:name w:val="inline-table__title"/>
    <w:basedOn w:val="DefaultParagraphFont"/>
    <w:rsid w:val="004F6EAE"/>
  </w:style>
  <w:style w:type="character" w:styleId="Emphasis">
    <w:name w:val="Emphasis"/>
    <w:basedOn w:val="DefaultParagraphFont"/>
    <w:uiPriority w:val="20"/>
    <w:qFormat/>
    <w:rsid w:val="004F6EAE"/>
    <w:rPr>
      <w:i/>
      <w:iCs/>
    </w:rPr>
  </w:style>
  <w:style w:type="paragraph" w:styleId="ListParagraph">
    <w:name w:val="List Paragraph"/>
    <w:basedOn w:val="Normal"/>
    <w:uiPriority w:val="34"/>
    <w:qFormat/>
    <w:rsid w:val="004F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line-tablelabel">
    <w:name w:val="inline-table__label"/>
    <w:basedOn w:val="DefaultParagraphFont"/>
    <w:rsid w:val="004F6EAE"/>
  </w:style>
  <w:style w:type="character" w:customStyle="1" w:styleId="inline-tabletitle">
    <w:name w:val="inline-table__title"/>
    <w:basedOn w:val="DefaultParagraphFont"/>
    <w:rsid w:val="004F6EAE"/>
  </w:style>
  <w:style w:type="character" w:styleId="Emphasis">
    <w:name w:val="Emphasis"/>
    <w:basedOn w:val="DefaultParagraphFont"/>
    <w:uiPriority w:val="20"/>
    <w:qFormat/>
    <w:rsid w:val="004F6EAE"/>
    <w:rPr>
      <w:i/>
      <w:iCs/>
    </w:rPr>
  </w:style>
  <w:style w:type="paragraph" w:styleId="ListParagraph">
    <w:name w:val="List Paragraph"/>
    <w:basedOn w:val="Normal"/>
    <w:uiPriority w:val="34"/>
    <w:qFormat/>
    <w:rsid w:val="004F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5217">
          <w:marLeft w:val="0"/>
          <w:marRight w:val="0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871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856</Words>
  <Characters>4880</Characters>
  <Application>Microsoft Macintosh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grant</dc:creator>
  <cp:keywords/>
  <dc:description/>
  <cp:lastModifiedBy>mark grant</cp:lastModifiedBy>
  <cp:revision>4</cp:revision>
  <cp:lastPrinted>2022-01-19T18:25:00Z</cp:lastPrinted>
  <dcterms:created xsi:type="dcterms:W3CDTF">2022-01-07T20:28:00Z</dcterms:created>
  <dcterms:modified xsi:type="dcterms:W3CDTF">2022-01-19T19:56:00Z</dcterms:modified>
</cp:coreProperties>
</file>